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административн</w:t>
      </w:r>
      <w:r w:rsidR="003906DC">
        <w:rPr>
          <w:rFonts w:ascii="Times New Roman" w:hAnsi="Times New Roman"/>
          <w:b/>
          <w:bCs/>
        </w:rPr>
        <w:t>ых</w:t>
      </w:r>
    </w:p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низов</w:t>
      </w:r>
      <w:r w:rsidR="003906DC">
        <w:rPr>
          <w:rFonts w:ascii="Times New Roman" w:hAnsi="Times New Roman"/>
          <w:b/>
          <w:bCs/>
        </w:rPr>
        <w:t>ых</w:t>
      </w:r>
      <w:r>
        <w:rPr>
          <w:rFonts w:ascii="Times New Roman" w:hAnsi="Times New Roman"/>
          <w:b/>
          <w:bCs/>
        </w:rPr>
        <w:t xml:space="preserve"> должност</w:t>
      </w:r>
      <w:r w:rsidR="003906DC">
        <w:rPr>
          <w:rFonts w:ascii="Times New Roman" w:hAnsi="Times New Roman"/>
          <w:b/>
          <w:bCs/>
        </w:rPr>
        <w:t>ей</w:t>
      </w:r>
      <w:r w:rsidRPr="00841ACD">
        <w:rPr>
          <w:rFonts w:ascii="Times New Roman" w:hAnsi="Times New Roman"/>
          <w:b/>
          <w:bCs/>
        </w:rPr>
        <w:t xml:space="preserve"> корпуса «Б»</w:t>
      </w: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«Управление здравоохранения Акмолинской области» (индекс 020000, Акмолинская область,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окшетау,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справок: 8(716-2) 25-80-09, факс: 8(716-2)40-27-73, электронный </w:t>
      </w:r>
      <w:proofErr w:type="spellStart"/>
      <w:r>
        <w:rPr>
          <w:rFonts w:ascii="Times New Roman" w:hAnsi="Times New Roman"/>
          <w:b/>
          <w:sz w:val="28"/>
          <w:szCs w:val="28"/>
        </w:rPr>
        <w:t>адрес:</w:t>
      </w:r>
      <w:hyperlink r:id="rId4" w:history="1">
        <w:r w:rsidRPr="00C9190C">
          <w:rPr>
            <w:rStyle w:val="a3"/>
            <w:rFonts w:ascii="Times New Roman" w:hAnsi="Times New Roman"/>
            <w:b/>
            <w:i/>
            <w:sz w:val="28"/>
            <w:szCs w:val="28"/>
          </w:rPr>
          <w:t>oblzdrav@kokshetau.online.kz</w:t>
        </w:r>
        <w:proofErr w:type="spellEnd"/>
      </w:hyperlink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административн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низов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3906DC">
        <w:rPr>
          <w:rFonts w:ascii="Times New Roman" w:hAnsi="Times New Roman"/>
          <w:b/>
          <w:bCs/>
          <w:sz w:val="28"/>
          <w:szCs w:val="28"/>
        </w:rPr>
        <w:t>ей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корпуса «Б»: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1. Главный специалист отдела организации  медицинской  помощи, лекарственного обеспечения, по чрезвычайным ситуациям и мобилизационной  подготовки, категория «D-O-4», 1 единица.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Основные функциональные обязанности: </w:t>
      </w:r>
      <w:r w:rsidRPr="0086746C">
        <w:rPr>
          <w:rFonts w:ascii="Times New Roman" w:hAnsi="Times New Roman"/>
          <w:sz w:val="28"/>
          <w:szCs w:val="28"/>
        </w:rPr>
        <w:t>Реализует мероприятия по совершенствованию хирургической службы в области</w:t>
      </w:r>
      <w:proofErr w:type="gramStart"/>
      <w:r w:rsidRPr="0086746C">
        <w:rPr>
          <w:rFonts w:ascii="Times New Roman" w:hAnsi="Times New Roman"/>
          <w:sz w:val="28"/>
          <w:szCs w:val="28"/>
        </w:rPr>
        <w:t>.А</w:t>
      </w:r>
      <w:proofErr w:type="gramEnd"/>
      <w:r w:rsidRPr="0086746C">
        <w:rPr>
          <w:rFonts w:ascii="Times New Roman" w:hAnsi="Times New Roman"/>
          <w:sz w:val="28"/>
          <w:szCs w:val="28"/>
        </w:rPr>
        <w:t xml:space="preserve">нализирует статистическую  информацию по хирургической службе. 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Разрабатывает  и ведет мониторинг региональные комплексные программы по хирургическому профилю (СМП, ВТМУ, ЦАХ, </w:t>
      </w:r>
      <w:proofErr w:type="gramStart"/>
      <w:r w:rsidRPr="0086746C">
        <w:rPr>
          <w:rFonts w:ascii="Times New Roman" w:hAnsi="Times New Roman"/>
          <w:sz w:val="28"/>
          <w:szCs w:val="28"/>
        </w:rPr>
        <w:t>амбулаторно хирургический</w:t>
      </w:r>
      <w:proofErr w:type="gramEnd"/>
      <w:r w:rsidRPr="0086746C">
        <w:rPr>
          <w:rFonts w:ascii="Times New Roman" w:hAnsi="Times New Roman"/>
          <w:sz w:val="28"/>
          <w:szCs w:val="28"/>
        </w:rPr>
        <w:t>).  Разрабатывает и реализует   перспективные планы постдипломного  повышения квалификации врачей хирургического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разделам.Организует лечебно-консультативную помощь медицинским организациям по хирургическому профилю. Осуществляет рассмотрение обращений граждан по курируемому разделу.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86746C">
        <w:rPr>
          <w:rFonts w:ascii="Times New Roman" w:hAnsi="Times New Roman"/>
          <w:sz w:val="28"/>
          <w:szCs w:val="28"/>
        </w:rPr>
        <w:t>высшее образование в области  здравоохранения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2. Главный специалист  отдела охраны матери и  ребенка, категория «D-O-4», 1 единица.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Основные функциональные обязанности: </w:t>
      </w:r>
      <w:r w:rsidRPr="0086746C">
        <w:rPr>
          <w:rFonts w:ascii="Times New Roman" w:hAnsi="Times New Roman"/>
          <w:sz w:val="28"/>
          <w:szCs w:val="28"/>
        </w:rPr>
        <w:t xml:space="preserve">Организует  лечебно профилактические работы в учреждениях и предприятиях области педиатрического профиля. Анализирует заболеваемость по специальностям, </w:t>
      </w:r>
      <w:r w:rsidRPr="0086746C">
        <w:rPr>
          <w:rFonts w:ascii="Times New Roman" w:hAnsi="Times New Roman"/>
          <w:sz w:val="28"/>
          <w:szCs w:val="28"/>
        </w:rPr>
        <w:lastRenderedPageBreak/>
        <w:t xml:space="preserve">контролирует  демографическую ситуацию в области (младенческая и детская смертность),  ход проводимых в области </w:t>
      </w:r>
      <w:proofErr w:type="spellStart"/>
      <w:r w:rsidRPr="0086746C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детского населения Обеспечивает организационно-методологическую руководство и проверяет деятельность организаций здравоохранения детства, анализирует статистический отчет, показатели заболеваемости среди детей с последующими предложениями, направленными на дальнейшее улучшение качества медицинской помощи.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Осуществляет рассмотрение обращений граждан по курируемому разделу.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86746C">
        <w:rPr>
          <w:rFonts w:ascii="Times New Roman" w:hAnsi="Times New Roman"/>
          <w:sz w:val="28"/>
          <w:szCs w:val="28"/>
        </w:rPr>
        <w:t>высшее образование в области  здравоохранения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3. Главный специалист  отдела охраны матери и  ребенка, категория «D-O-4», 1 единица.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Основные функциональные обязанности: </w:t>
      </w:r>
      <w:r w:rsidRPr="0086746C">
        <w:rPr>
          <w:rFonts w:ascii="Times New Roman" w:hAnsi="Times New Roman"/>
          <w:sz w:val="28"/>
          <w:szCs w:val="28"/>
        </w:rPr>
        <w:t xml:space="preserve">Организует  лечебно профилактические работы в учреждениях и предприятиях области  акушерско-гинекологического профиля. Анализирует заболеваемость по специальностям, контролирует  демографическую ситуацию в области (материнская смертность),  ход проводимых в области </w:t>
      </w:r>
      <w:proofErr w:type="spellStart"/>
      <w:r w:rsidRPr="0086746C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женского населения Обеспечивает организационно-методологическую руководство и проверяет деятельность организаций здравоохранения родовспоможения, анализирует статистический отчет, показатели заболеваемости и материнской смертности с последующими предложениями, направленными на дальнейшее улучшение качества  медицинской помощи. Осуществляет рассмотрение обращений граждан по курируемому разделу.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proofErr w:type="spellStart"/>
      <w:r w:rsidRPr="0086746C">
        <w:rPr>
          <w:rFonts w:ascii="Times New Roman" w:hAnsi="Times New Roman"/>
          <w:b/>
          <w:sz w:val="28"/>
          <w:szCs w:val="28"/>
        </w:rPr>
        <w:t>конкурса</w:t>
      </w:r>
      <w:proofErr w:type="gramStart"/>
      <w:r w:rsidRPr="0086746C">
        <w:rPr>
          <w:rFonts w:ascii="Times New Roman" w:hAnsi="Times New Roman"/>
          <w:b/>
          <w:sz w:val="28"/>
          <w:szCs w:val="28"/>
        </w:rPr>
        <w:t>:</w:t>
      </w:r>
      <w:r w:rsidRPr="0086746C">
        <w:rPr>
          <w:rFonts w:ascii="Times New Roman" w:hAnsi="Times New Roman"/>
          <w:sz w:val="28"/>
          <w:szCs w:val="28"/>
        </w:rPr>
        <w:t>в</w:t>
      </w:r>
      <w:proofErr w:type="gramEnd"/>
      <w:r w:rsidRPr="0086746C">
        <w:rPr>
          <w:rFonts w:ascii="Times New Roman" w:hAnsi="Times New Roman"/>
          <w:sz w:val="28"/>
          <w:szCs w:val="28"/>
        </w:rPr>
        <w:t>ысшее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образование в области  здравоохранения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lastRenderedPageBreak/>
        <w:t>4.Главный специалист  отделагосударственных закупок и материально- технического оборудования, категория «D-O-4», 1 единица.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Основные функциональные обязанности</w:t>
      </w:r>
      <w:r w:rsidRPr="0086746C">
        <w:rPr>
          <w:rFonts w:ascii="Times New Roman" w:hAnsi="Times New Roman"/>
          <w:sz w:val="28"/>
          <w:szCs w:val="28"/>
        </w:rPr>
        <w:t>: Осуществляет работы по развитию материально-технической базы  медицинских  организаций. Проводит оценку оснащенности  медицинского оборудования, эффективности их работы, контролирует своевременность государственных проверок, вносит предложения и готовит   необходимые расчеты. Готовит документы  о приобретении, передачи  и списании  медицинского оборудования. Контролирует  состояние техники в медицинских организациях области.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Требования к участникам </w:t>
      </w:r>
      <w:proofErr w:type="spellStart"/>
      <w:r w:rsidRPr="0086746C">
        <w:rPr>
          <w:rFonts w:ascii="Times New Roman" w:hAnsi="Times New Roman"/>
          <w:sz w:val="28"/>
          <w:szCs w:val="28"/>
        </w:rPr>
        <w:t>конкурса</w:t>
      </w:r>
      <w:proofErr w:type="gramStart"/>
      <w:r w:rsidRPr="0086746C">
        <w:rPr>
          <w:rFonts w:ascii="Times New Roman" w:hAnsi="Times New Roman"/>
          <w:sz w:val="28"/>
          <w:szCs w:val="28"/>
        </w:rPr>
        <w:t>:в</w:t>
      </w:r>
      <w:proofErr w:type="gramEnd"/>
      <w:r w:rsidRPr="0086746C">
        <w:rPr>
          <w:rFonts w:ascii="Times New Roman" w:hAnsi="Times New Roman"/>
          <w:sz w:val="28"/>
          <w:szCs w:val="28"/>
        </w:rPr>
        <w:t>ысшее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образование в области здравоохранения и социального обеспечения или  права или социальных наук, экономики и бизнеса (экономика или учет и аудит или финансы).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Pr="00C74114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74114">
        <w:rPr>
          <w:rFonts w:ascii="Times New Roman" w:hAnsi="Times New Roman"/>
          <w:b/>
          <w:sz w:val="28"/>
          <w:szCs w:val="28"/>
        </w:rPr>
        <w:t xml:space="preserve">. </w:t>
      </w:r>
      <w:r w:rsidRPr="00C74114">
        <w:rPr>
          <w:rFonts w:ascii="Times New Roman" w:hAnsi="Times New Roman"/>
          <w:b/>
          <w:bCs/>
          <w:sz w:val="28"/>
          <w:szCs w:val="28"/>
        </w:rPr>
        <w:t xml:space="preserve">Главный специалист </w:t>
      </w:r>
      <w:r w:rsidRPr="00C74114">
        <w:rPr>
          <w:rFonts w:ascii="Times New Roman" w:hAnsi="Times New Roman"/>
          <w:b/>
          <w:sz w:val="28"/>
          <w:szCs w:val="28"/>
        </w:rPr>
        <w:t>отдела</w:t>
      </w:r>
      <w:r w:rsidRPr="00C74114">
        <w:rPr>
          <w:rFonts w:ascii="Times New Roman" w:hAnsi="Times New Roman"/>
          <w:b/>
          <w:bCs/>
          <w:sz w:val="28"/>
          <w:szCs w:val="28"/>
        </w:rPr>
        <w:t xml:space="preserve"> экономики, планирования, бюджетных программ и реализации проектов ГЧП</w:t>
      </w:r>
      <w:r>
        <w:rPr>
          <w:rFonts w:ascii="Times New Roman" w:hAnsi="Times New Roman"/>
          <w:b/>
          <w:sz w:val="28"/>
          <w:szCs w:val="28"/>
        </w:rPr>
        <w:t xml:space="preserve"> (на период отпус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 по уходу за ребенком основного работника до 30 сентября 2018 года),</w:t>
      </w:r>
      <w:r w:rsidRPr="00C74114">
        <w:rPr>
          <w:rFonts w:ascii="Times New Roman" w:hAnsi="Times New Roman"/>
          <w:b/>
          <w:sz w:val="28"/>
          <w:szCs w:val="28"/>
        </w:rPr>
        <w:t xml:space="preserve"> категория «D-O-4», 1 единица.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 xml:space="preserve">Основные функциональные </w:t>
      </w:r>
      <w:proofErr w:type="spellStart"/>
      <w:r w:rsidRPr="00C74114">
        <w:rPr>
          <w:rFonts w:ascii="Times New Roman" w:hAnsi="Times New Roman"/>
          <w:b/>
          <w:sz w:val="28"/>
          <w:szCs w:val="28"/>
        </w:rPr>
        <w:t>обязанности</w:t>
      </w:r>
      <w:proofErr w:type="gramStart"/>
      <w:r w:rsidRPr="00C74114">
        <w:rPr>
          <w:rFonts w:ascii="Times New Roman" w:hAnsi="Times New Roman"/>
          <w:b/>
          <w:sz w:val="28"/>
          <w:szCs w:val="28"/>
        </w:rPr>
        <w:t>:</w:t>
      </w:r>
      <w:r w:rsidRPr="00C74114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C74114">
        <w:rPr>
          <w:rFonts w:ascii="Times New Roman" w:hAnsi="Times New Roman"/>
          <w:bCs/>
          <w:sz w:val="28"/>
          <w:szCs w:val="28"/>
        </w:rPr>
        <w:t>оординация</w:t>
      </w:r>
      <w:proofErr w:type="spellEnd"/>
      <w:r w:rsidRPr="00C74114">
        <w:rPr>
          <w:rFonts w:ascii="Times New Roman" w:hAnsi="Times New Roman"/>
          <w:bCs/>
          <w:sz w:val="28"/>
          <w:szCs w:val="28"/>
        </w:rPr>
        <w:t xml:space="preserve"> работ по реализации проектов по государственно-частному партнерству, организация мониторинга на всех этапах проектирования и строительства объектов государственно-частного партнерства участие в судебных разбирательствах по концессионным проектам. Подготовка справок материалов и проектов нормативно правовых актов по вопросам развития государственно-частного партнерства. Осуществляет внутренний контроль за исполнением бюджета, финансово- хозяйственной деятельности. Подготовка по итогам проверок заключений и предложений по пресечению и недопущению нецелевого и неэффективного использования средств бюджета. Осуществление контроля за реализацией стратегического и операционного планов управления. Контроль за исполнением представлений, направляемых объектам контроля, участие в проверках.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proofErr w:type="spellStart"/>
      <w:r w:rsidRPr="00C74114">
        <w:rPr>
          <w:rFonts w:ascii="Times New Roman" w:hAnsi="Times New Roman"/>
          <w:b/>
          <w:sz w:val="28"/>
          <w:szCs w:val="28"/>
        </w:rPr>
        <w:t>конкурса</w:t>
      </w:r>
      <w:proofErr w:type="gramStart"/>
      <w:r w:rsidRPr="00C7411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ысшее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 </w:t>
      </w:r>
      <w:r w:rsidRPr="00C74114">
        <w:rPr>
          <w:rFonts w:ascii="Times New Roman" w:hAnsi="Times New Roman"/>
          <w:sz w:val="28"/>
          <w:szCs w:val="28"/>
        </w:rPr>
        <w:t>в области экономики и бизнеса (экономика или учет и аудит или финансы)</w:t>
      </w:r>
      <w:r>
        <w:rPr>
          <w:rFonts w:ascii="Times New Roman" w:hAnsi="Times New Roman"/>
          <w:sz w:val="28"/>
          <w:szCs w:val="28"/>
        </w:rPr>
        <w:t>.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Default="001C39CA" w:rsidP="001C39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lastRenderedPageBreak/>
        <w:t>Опыт работы не требуется.</w:t>
      </w:r>
    </w:p>
    <w:p w:rsidR="001C39CA" w:rsidRPr="000B4C71" w:rsidRDefault="001C39CA" w:rsidP="001C39C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B4C71">
        <w:rPr>
          <w:rFonts w:ascii="Times New Roman" w:hAnsi="Times New Roman"/>
          <w:b/>
          <w:sz w:val="28"/>
          <w:szCs w:val="28"/>
        </w:rPr>
        <w:t>. Главный специалист отдела экономики, планирования, бюджетных программ и реализации проектов ГЧП, категория «D-O-4», 1 единица.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71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1C39CA" w:rsidRDefault="001C39CA" w:rsidP="00FC7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Основные функциональные обязанности</w:t>
      </w:r>
      <w:proofErr w:type="gramStart"/>
      <w:r w:rsidRPr="0086746C">
        <w:rPr>
          <w:rFonts w:ascii="Times New Roman" w:hAnsi="Times New Roman"/>
          <w:b/>
          <w:sz w:val="28"/>
          <w:szCs w:val="28"/>
        </w:rPr>
        <w:t>:</w:t>
      </w:r>
      <w:r w:rsidRPr="0086746C">
        <w:rPr>
          <w:rFonts w:ascii="Times New Roman" w:hAnsi="Times New Roman"/>
          <w:sz w:val="28"/>
          <w:szCs w:val="28"/>
        </w:rPr>
        <w:t>П</w:t>
      </w:r>
      <w:proofErr w:type="gramEnd"/>
      <w:r w:rsidRPr="0086746C">
        <w:rPr>
          <w:rFonts w:ascii="Times New Roman" w:hAnsi="Times New Roman"/>
          <w:sz w:val="28"/>
          <w:szCs w:val="28"/>
        </w:rPr>
        <w:t xml:space="preserve">роводит учет планов финансирования по обязательствам и платежам  медицинских организаций и управления. Вносит изменения в планы финансирования по обязательствам и платежам  медицинских организаций и управления. Составляет расчеты по проекту бюджета здравоохранения области. Формирует бюджетную заявку по республиканскому (целевые текущие трансферты) бюджету на предстоящие три года. Работает с программой «Бюджет».  Проводит работы с утвержденным бюджетом. </w:t>
      </w:r>
      <w:r w:rsidRPr="0086746C">
        <w:rPr>
          <w:rFonts w:ascii="Times New Roman" w:hAnsi="Times New Roman"/>
          <w:sz w:val="28"/>
          <w:szCs w:val="28"/>
          <w:lang w:val="kk-KZ"/>
        </w:rPr>
        <w:t>Готовит</w:t>
      </w:r>
      <w:r w:rsidRPr="0086746C">
        <w:rPr>
          <w:rFonts w:ascii="Times New Roman" w:hAnsi="Times New Roman"/>
          <w:sz w:val="28"/>
          <w:szCs w:val="28"/>
        </w:rPr>
        <w:t xml:space="preserve"> материалы на бюджетные комиссии по уточнению бюджета.</w:t>
      </w:r>
      <w:r w:rsidRPr="0086746C">
        <w:rPr>
          <w:rFonts w:ascii="Times New Roman" w:hAnsi="Times New Roman"/>
          <w:sz w:val="28"/>
          <w:szCs w:val="28"/>
          <w:lang w:val="kk-KZ"/>
        </w:rPr>
        <w:t xml:space="preserve"> Проводит расчеты по фонду заработной платы, утверждению штатных расписаний в соответствии с лимитами по фонду оплаты труда и действующими нормативами. Проверяет расчеты по заработной плате и устанавливает должностные оклады организаций, изменивших юридический статус (перевод из ГККП в ГКП на ПХВ).</w:t>
      </w:r>
      <w:r w:rsidRPr="0086746C">
        <w:rPr>
          <w:rFonts w:ascii="Times New Roman" w:hAnsi="Times New Roman"/>
          <w:sz w:val="28"/>
          <w:szCs w:val="28"/>
        </w:rPr>
        <w:t>Проводит расчеты по дифференцированной оплате труда. Проверка, принятие и утверждение отчетов подведомственных медицинских организаций по финансово- хозяйственной деятельности.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86746C">
        <w:rPr>
          <w:rFonts w:ascii="Times New Roman" w:hAnsi="Times New Roman"/>
          <w:sz w:val="28"/>
          <w:szCs w:val="28"/>
        </w:rPr>
        <w:t>высшее образование в области экономики и бизнеса (экономика или учет и аудит или финансы).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86746C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Default="001C39CA" w:rsidP="001C39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221EBE" w:rsidRPr="00221EBE" w:rsidRDefault="00221EBE" w:rsidP="00221EB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21EBE">
        <w:rPr>
          <w:rFonts w:ascii="Times New Roman" w:hAnsi="Times New Roman"/>
          <w:b/>
          <w:sz w:val="28"/>
          <w:szCs w:val="28"/>
        </w:rPr>
        <w:t xml:space="preserve">7. </w:t>
      </w:r>
      <w:r w:rsidRPr="00221EBE">
        <w:rPr>
          <w:rFonts w:ascii="Times New Roman" w:hAnsi="Times New Roman"/>
          <w:b/>
          <w:sz w:val="28"/>
          <w:szCs w:val="28"/>
        </w:rPr>
        <w:t xml:space="preserve">Главный специалист отдела </w:t>
      </w:r>
      <w:r>
        <w:rPr>
          <w:rFonts w:ascii="Times New Roman" w:hAnsi="Times New Roman"/>
          <w:b/>
          <w:sz w:val="28"/>
          <w:szCs w:val="28"/>
        </w:rPr>
        <w:t>юридической и организационной работы, государственных услуг</w:t>
      </w:r>
      <w:r w:rsidRPr="00221EBE">
        <w:rPr>
          <w:rFonts w:ascii="Times New Roman" w:hAnsi="Times New Roman"/>
          <w:b/>
          <w:sz w:val="28"/>
          <w:szCs w:val="28"/>
        </w:rPr>
        <w:t>, категория «D-O-4», 1 единица.</w:t>
      </w:r>
    </w:p>
    <w:p w:rsidR="00221EBE" w:rsidRDefault="00221EBE" w:rsidP="00221E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221EBE" w:rsidRDefault="00221EBE" w:rsidP="0022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EBE">
        <w:rPr>
          <w:rFonts w:ascii="Times New Roman" w:hAnsi="Times New Roman"/>
          <w:sz w:val="28"/>
          <w:szCs w:val="28"/>
        </w:rPr>
        <w:t xml:space="preserve">Разрабатывает, внедряет и проверяет работоспособность новых компьютерных программ. Обновляет антивирусные программы и тестирование на компьютерные вирусы. Разрабатывает  дизайн документов, бланков. Обеспечивает стабильность эксплуатации компьютерной техники, обслуживание локальной сети, методическая, практическая помощь по компьютерным программам  отделам Управления здравоохранения, обучение компьютерной грамотности специалистов. </w:t>
      </w:r>
      <w:r w:rsidRPr="00221EBE">
        <w:rPr>
          <w:rFonts w:ascii="Times New Roman" w:hAnsi="Times New Roman"/>
          <w:sz w:val="28"/>
          <w:szCs w:val="28"/>
          <w:lang w:val="kk-KZ"/>
        </w:rPr>
        <w:t xml:space="preserve">Организует мероприятия по  обновлению сайта  управления здравоохранения и акимата области  по разделу здравоохранения. Организует решение вопросов,  направленных на обеспечение выполнения разработанных программ АСУ.  </w:t>
      </w:r>
      <w:r w:rsidRPr="00221EBE">
        <w:rPr>
          <w:rFonts w:ascii="Times New Roman" w:hAnsi="Times New Roman"/>
          <w:sz w:val="28"/>
          <w:szCs w:val="28"/>
        </w:rPr>
        <w:t>Осуществляет мониторинг и анализ</w:t>
      </w:r>
      <w:r w:rsidRPr="00221EBE">
        <w:rPr>
          <w:rFonts w:ascii="Times New Roman" w:hAnsi="Times New Roman"/>
          <w:sz w:val="28"/>
          <w:szCs w:val="28"/>
          <w:lang w:val="kk-KZ"/>
        </w:rPr>
        <w:t>а</w:t>
      </w:r>
      <w:r w:rsidRPr="00221E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EBE">
        <w:rPr>
          <w:rFonts w:ascii="Times New Roman" w:hAnsi="Times New Roman"/>
          <w:sz w:val="28"/>
          <w:szCs w:val="28"/>
        </w:rPr>
        <w:t>внедрени</w:t>
      </w:r>
      <w:proofErr w:type="spellEnd"/>
      <w:r w:rsidRPr="00221EBE">
        <w:rPr>
          <w:rFonts w:ascii="Times New Roman" w:hAnsi="Times New Roman"/>
          <w:sz w:val="28"/>
          <w:szCs w:val="28"/>
          <w:lang w:val="kk-KZ"/>
        </w:rPr>
        <w:t>я</w:t>
      </w:r>
      <w:r w:rsidRPr="00221EBE">
        <w:rPr>
          <w:rFonts w:ascii="Times New Roman" w:hAnsi="Times New Roman"/>
          <w:sz w:val="28"/>
          <w:szCs w:val="28"/>
        </w:rPr>
        <w:t xml:space="preserve">  ЕИСЗ в медицинских организациях области. Организует </w:t>
      </w:r>
      <w:r w:rsidRPr="00221EBE">
        <w:rPr>
          <w:rFonts w:ascii="Times New Roman" w:hAnsi="Times New Roman"/>
          <w:sz w:val="28"/>
          <w:szCs w:val="28"/>
        </w:rPr>
        <w:lastRenderedPageBreak/>
        <w:t>практическую и методическую помощь  подведомственным организациям. Организует работу коллегии, аппаратных совещаний, вручение награждений управления.</w:t>
      </w:r>
    </w:p>
    <w:p w:rsidR="00221EBE" w:rsidRPr="00221EBE" w:rsidRDefault="00221EBE" w:rsidP="0022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r w:rsidRPr="00221E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EBE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221EBE">
        <w:rPr>
          <w:rFonts w:ascii="Times New Roman" w:hAnsi="Times New Roman"/>
          <w:sz w:val="28"/>
          <w:szCs w:val="28"/>
          <w:lang w:val="kk-KZ"/>
        </w:rPr>
        <w:t>в области  технических наук  и технологий (автоматизация и управление или информационные системы или программное обеспечение)</w:t>
      </w:r>
      <w:r w:rsidRPr="00221EBE">
        <w:rPr>
          <w:rFonts w:ascii="Times New Roman" w:hAnsi="Times New Roman"/>
          <w:sz w:val="28"/>
          <w:szCs w:val="28"/>
        </w:rPr>
        <w:t>.</w:t>
      </w:r>
    </w:p>
    <w:p w:rsidR="00221EBE" w:rsidRPr="00221EBE" w:rsidRDefault="00221EBE" w:rsidP="0022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221EBE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221EBE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221E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1EBE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221EBE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Default="00221EBE" w:rsidP="0022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BE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 xml:space="preserve">Правил проведения конкурса </w:t>
      </w:r>
      <w:proofErr w:type="gramStart"/>
      <w:r>
        <w:rPr>
          <w:rFonts w:ascii="Times New Roman" w:eastAsia="Calibri" w:hAnsi="Times New Roman" w:cs="Tahoma"/>
          <w:color w:val="000000"/>
          <w:sz w:val="28"/>
          <w:szCs w:val="20"/>
        </w:rPr>
        <w:t>на</w:t>
      </w:r>
      <w:proofErr w:type="gramEnd"/>
      <w:r>
        <w:rPr>
          <w:rFonts w:ascii="Times New Roman" w:eastAsia="Calibri" w:hAnsi="Times New Roman" w:cs="Tahoma"/>
          <w:color w:val="000000"/>
          <w:sz w:val="28"/>
          <w:szCs w:val="20"/>
        </w:rPr>
        <w:t xml:space="preserve">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1C39CA" w:rsidRPr="00A715E6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 xml:space="preserve">», выданной акционерным обществом </w:t>
      </w:r>
      <w:r>
        <w:rPr>
          <w:rFonts w:ascii="Times New Roman" w:hAnsi="Times New Roman"/>
          <w:sz w:val="28"/>
          <w:szCs w:val="28"/>
        </w:rPr>
        <w:lastRenderedPageBreak/>
        <w:t>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6697),выданная не более чем за шесть месяцев до дня представления документов (либо нотариально засвидетельствованная копия);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C39CA" w:rsidRDefault="001C39CA" w:rsidP="001C39CA">
      <w:pPr>
        <w:pStyle w:val="a4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C39CA" w:rsidRPr="00327EF6" w:rsidRDefault="001C39CA" w:rsidP="001C39C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kern w:val="0"/>
          <w:sz w:val="28"/>
          <w:szCs w:val="28"/>
        </w:rPr>
      </w:pPr>
      <w:r w:rsidRPr="00327EF6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1" w:name="z61"/>
      <w:bookmarkEnd w:id="1"/>
    </w:p>
    <w:p w:rsidR="001C39CA" w:rsidRPr="00327EF6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Pr="00327EF6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9CA" w:rsidRPr="00850B0E" w:rsidRDefault="001C39CA" w:rsidP="001C3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конкурса на занятие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административной</w:t>
      </w:r>
      <w:proofErr w:type="gramEnd"/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1C39CA" w:rsidRPr="001F363E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(государственный орган)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занятие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орма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1C39CA" w:rsidTr="0052584F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9CA" w:rsidRDefault="001C39CA" w:rsidP="001C39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lastRenderedPageBreak/>
        <w:t xml:space="preserve"> (тегi, аты, әкесiнiң аты (болған жағдайда)/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1C39CA" w:rsidRDefault="001C39CA" w:rsidP="001C39CA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1C39CA" w:rsidTr="0052584F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Соңғыүшжылдағықызметініңтиімділігінжылсайынғыбағалаукүні мен нәтижесі, егерүшжыл-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кем жұмысістегенжағдайда, нақтыжұмысістегенкезеңіндегібағасыкөрсетіледі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  <w:proofErr w:type="gramEnd"/>
          </w:p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1C39CA" w:rsidTr="0052584F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1C39CA" w:rsidTr="0052584F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мекеменіңорналасқанжері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естоработы,местонахождение</w:t>
            </w:r>
            <w:proofErr w:type="spell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1C39CA" w:rsidRDefault="001C39CA" w:rsidP="001C39CA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Pr="007B32CD" w:rsidRDefault="001C39CA" w:rsidP="001C39CA"/>
    <w:p w:rsidR="001C39CA" w:rsidRDefault="001C39CA" w:rsidP="001C39CA"/>
    <w:p w:rsidR="000F30A4" w:rsidRDefault="000F30A4"/>
    <w:sectPr w:rsidR="000F30A4" w:rsidSect="00A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63"/>
    <w:rsid w:val="000F30A4"/>
    <w:rsid w:val="00193A93"/>
    <w:rsid w:val="001C39CA"/>
    <w:rsid w:val="00221EBE"/>
    <w:rsid w:val="00230D63"/>
    <w:rsid w:val="003906DC"/>
    <w:rsid w:val="007263FB"/>
    <w:rsid w:val="008C4DCD"/>
    <w:rsid w:val="009740EE"/>
    <w:rsid w:val="00A027BD"/>
    <w:rsid w:val="00FC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1C39CA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C39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39CA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3</cp:revision>
  <dcterms:created xsi:type="dcterms:W3CDTF">2018-06-18T02:39:00Z</dcterms:created>
  <dcterms:modified xsi:type="dcterms:W3CDTF">2018-07-03T11:49:00Z</dcterms:modified>
</cp:coreProperties>
</file>