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8585da" w14:textId="078585da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Правил ведения реестра государственных услуг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3 августа 2013 года № 779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 подпунктом 4) </w:t>
      </w:r>
      <w:r>
        <w:rPr>
          <w:b w:val="false"/>
          <w:i w:val="false"/>
          <w:color w:val="000000"/>
          <w:sz w:val="20"/>
        </w:rPr>
        <w:t>статьи 6</w:t>
      </w:r>
      <w:r>
        <w:rPr>
          <w:b w:val="false"/>
          <w:i w:val="false"/>
          <w:color w:val="000000"/>
          <w:sz w:val="20"/>
        </w:rPr>
        <w:t xml:space="preserve"> Закона Республики Казахстан от 15 апреля 2013 года «О государственных услугах»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прилагаемые </w:t>
      </w:r>
      <w:r>
        <w:rPr>
          <w:b w:val="false"/>
          <w:i w:val="false"/>
          <w:color w:val="000000"/>
          <w:sz w:val="20"/>
        </w:rPr>
        <w:t>Правила</w:t>
      </w:r>
      <w:r>
        <w:rPr>
          <w:b w:val="false"/>
          <w:i w:val="false"/>
          <w:color w:val="000000"/>
          <w:sz w:val="20"/>
        </w:rPr>
        <w:t xml:space="preserve"> ведения реестра государственных услуг.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Утверждены          </w:t>
      </w:r>
      <w:r>
        <w:br/>
      </w:r>
      <w:r>
        <w:rPr>
          <w:b w:val="false"/>
          <w:i w:val="false"/>
          <w:color w:val="000000"/>
          <w:sz w:val="20"/>
        </w:rPr>
        <w:t>
постановлением Правительства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b w:val="false"/>
          <w:i w:val="false"/>
          <w:color w:val="000000"/>
          <w:sz w:val="20"/>
        </w:rPr>
        <w:t>
от 3 августа 2013 года № 779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Правила ведения</w:t>
      </w:r>
      <w:r>
        <w:br/>
      </w:r>
      <w:r>
        <w:rPr>
          <w:b/>
          <w:i w:val="false"/>
          <w:color w:val="000000"/>
        </w:rPr>
        <w:t>
реестра государственных услуг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Общие положения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1. Настоящие Правила ведения реестра государственных услуг (далее – Правила) определяют порядок ведения реестра государственных услуг.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В настоящих Правилах используются следующие термины и определения: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услугодатель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 </w:t>
      </w:r>
      <w:r>
        <w:rPr>
          <w:b w:val="false"/>
          <w:i w:val="false"/>
          <w:color w:val="000000"/>
          <w:sz w:val="20"/>
        </w:rPr>
        <w:t>законодательством</w:t>
      </w:r>
      <w:r>
        <w:rPr>
          <w:b w:val="false"/>
          <w:i w:val="false"/>
          <w:color w:val="000000"/>
          <w:sz w:val="20"/>
        </w:rPr>
        <w:t xml:space="preserve"> Республики Казахстан;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государственная услуга – одна из форм реализации отдельных государственных функций, осуществляемых в индивидуальном порядке по обращению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 </w:t>
      </w:r>
      <w:r>
        <w:rPr>
          <w:b w:val="false"/>
          <w:i w:val="false"/>
          <w:color w:val="000000"/>
          <w:sz w:val="20"/>
        </w:rPr>
        <w:t>реестр</w:t>
      </w:r>
      <w:r>
        <w:rPr>
          <w:b w:val="false"/>
          <w:i w:val="false"/>
          <w:color w:val="000000"/>
          <w:sz w:val="20"/>
        </w:rPr>
        <w:t xml:space="preserve"> государственных услуг – классифицированный перечень государственных услуг (далее – реестр);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 уполномоченный орган в сфере оказания государственных услуг (далее – уполномоченный орган) – центральный государственный орган, осуществляющий руководство и межотраслевую координацию в сфере оказания государственных услуг.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Основной задачей ведения реестра является выявление и включение государственных услуг, сведений о государственных услугах в реестр.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Цели ведения реестра:</w:t>
      </w:r>
      <w:r>
        <w:br/>
      </w:r>
      <w:r>
        <w:rPr>
          <w:b w:val="false"/>
          <w:i w:val="false"/>
          <w:color w:val="000000"/>
          <w:sz w:val="20"/>
        </w:rPr>
        <w:t>
      1) повышение эффективности и качества деятельности услугодателей;</w:t>
      </w:r>
      <w:r>
        <w:br/>
      </w:r>
      <w:r>
        <w:rPr>
          <w:b w:val="false"/>
          <w:i w:val="false"/>
          <w:color w:val="000000"/>
          <w:sz w:val="20"/>
        </w:rPr>
        <w:t>
      2) обеспечение доступности и открытости для услугополучателей сведений о государственных услугах;</w:t>
      </w:r>
      <w:r>
        <w:br/>
      </w:r>
      <w:r>
        <w:rPr>
          <w:b w:val="false"/>
          <w:i w:val="false"/>
          <w:color w:val="000000"/>
          <w:sz w:val="20"/>
        </w:rPr>
        <w:t>
      3) учет и анализ государственных услуг.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Реестр разрабатывается на государственном и русском языках.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Порядок ведения реестра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6. Порядок ведения реестра включает в себе следующие этапы:</w:t>
      </w:r>
      <w:r>
        <w:br/>
      </w:r>
      <w:r>
        <w:rPr>
          <w:b w:val="false"/>
          <w:i w:val="false"/>
          <w:color w:val="000000"/>
          <w:sz w:val="20"/>
        </w:rPr>
        <w:t>
      1) анализ нормативных правовых актов Республики Казахстан на предмет выявления государственных услуг;</w:t>
      </w:r>
      <w:r>
        <w:br/>
      </w:r>
      <w:r>
        <w:rPr>
          <w:b w:val="false"/>
          <w:i w:val="false"/>
          <w:color w:val="000000"/>
          <w:sz w:val="20"/>
        </w:rPr>
        <w:t>
      2) определение на основе проведенного анализа перечня государственных услуг, подлежащих к включению в реестр;</w:t>
      </w:r>
      <w:r>
        <w:br/>
      </w:r>
      <w:r>
        <w:rPr>
          <w:b w:val="false"/>
          <w:i w:val="false"/>
          <w:color w:val="000000"/>
          <w:sz w:val="20"/>
        </w:rPr>
        <w:t>
      3) включение выявленных государственных услуг, сведений о государственных услугах в реестр;</w:t>
      </w:r>
      <w:r>
        <w:br/>
      </w:r>
      <w:r>
        <w:rPr>
          <w:b w:val="false"/>
          <w:i w:val="false"/>
          <w:color w:val="000000"/>
          <w:sz w:val="20"/>
        </w:rPr>
        <w:t>
      4) проведение мониторинга реестра на предмет актуализации (обновления) его содержания;</w:t>
      </w:r>
      <w:r>
        <w:br/>
      </w:r>
      <w:r>
        <w:rPr>
          <w:b w:val="false"/>
          <w:i w:val="false"/>
          <w:color w:val="000000"/>
          <w:sz w:val="20"/>
        </w:rPr>
        <w:t>
      5) актуализация (обновление) сведений о государственных услугах, включенных в реестр.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7. Для включения в реестр государственная услуга должна соответствовать следующим требованиям:</w:t>
      </w:r>
      <w:r>
        <w:br/>
      </w:r>
      <w:r>
        <w:rPr>
          <w:b w:val="false"/>
          <w:i w:val="false"/>
          <w:color w:val="000000"/>
          <w:sz w:val="20"/>
        </w:rPr>
        <w:t>
      1) быть ориентированной на реализацию отдельных функций государственных органов;</w:t>
      </w:r>
      <w:r>
        <w:br/>
      </w:r>
      <w:r>
        <w:rPr>
          <w:b w:val="false"/>
          <w:i w:val="false"/>
          <w:color w:val="000000"/>
          <w:sz w:val="20"/>
        </w:rPr>
        <w:t>
      2) осуществляться в индивидуальном порядке;</w:t>
      </w:r>
      <w:r>
        <w:br/>
      </w:r>
      <w:r>
        <w:rPr>
          <w:b w:val="false"/>
          <w:i w:val="false"/>
          <w:color w:val="000000"/>
          <w:sz w:val="20"/>
        </w:rPr>
        <w:t>
      3) осуществляться по обращению услугополучателя;</w:t>
      </w:r>
      <w:r>
        <w:br/>
      </w:r>
      <w:r>
        <w:rPr>
          <w:b w:val="false"/>
          <w:i w:val="false"/>
          <w:color w:val="000000"/>
          <w:sz w:val="20"/>
        </w:rPr>
        <w:t>
      4) быть ориентированной на реализацию прав, свобод и законных интересов услугополучателей, предоставление им материальных или нематериальных благ.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8. Ведение реестра осуществляется уполномоченным органом.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9. Уполномоченный орган, в случае необходимости, ежегодно не позднее 1 июля и 1 декабря разрабатывает и вносит в установленном </w:t>
      </w:r>
      <w:r>
        <w:rPr>
          <w:b w:val="false"/>
          <w:i w:val="false"/>
          <w:color w:val="000000"/>
          <w:sz w:val="20"/>
        </w:rPr>
        <w:t>законодательством</w:t>
      </w:r>
      <w:r>
        <w:rPr>
          <w:b w:val="false"/>
          <w:i w:val="false"/>
          <w:color w:val="000000"/>
          <w:sz w:val="20"/>
        </w:rPr>
        <w:t xml:space="preserve"> Республики Казахстан порядке в Правительство Республики Казахстан проект постановления Правительства Республики Казахстан, предусматривающий внесение изменений и (или) дополнений в реестр.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10. Для внесения изменений и (или) дополнений в реестр центральные государственные органы и местные исполнительные органы:</w:t>
      </w:r>
      <w:r>
        <w:br/>
      </w:r>
      <w:r>
        <w:rPr>
          <w:b w:val="false"/>
          <w:i w:val="false"/>
          <w:color w:val="000000"/>
          <w:sz w:val="20"/>
        </w:rPr>
        <w:t>
      1) ежегодно проводят инвентаризацию сведений о государственных услугах в реестре;</w:t>
      </w:r>
      <w:r>
        <w:br/>
      </w:r>
      <w:r>
        <w:rPr>
          <w:b w:val="false"/>
          <w:i w:val="false"/>
          <w:color w:val="000000"/>
          <w:sz w:val="20"/>
        </w:rPr>
        <w:t>
      2) представляют в уполномоченный орган предложения по форме согласно </w:t>
      </w:r>
      <w:r>
        <w:rPr>
          <w:b w:val="false"/>
          <w:i w:val="false"/>
          <w:color w:val="000000"/>
          <w:sz w:val="20"/>
        </w:rPr>
        <w:t>приложению 1</w:t>
      </w:r>
      <w:r>
        <w:rPr>
          <w:b w:val="false"/>
          <w:i w:val="false"/>
          <w:color w:val="000000"/>
          <w:sz w:val="20"/>
        </w:rPr>
        <w:t xml:space="preserve"> к настоящим Правилам не позднее 1 июня и 1 ноября.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Структура реестра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11. Реестр предусматривает:</w:t>
      </w:r>
      <w:r>
        <w:br/>
      </w:r>
      <w:r>
        <w:rPr>
          <w:b w:val="false"/>
          <w:i w:val="false"/>
          <w:color w:val="000000"/>
          <w:sz w:val="20"/>
        </w:rPr>
        <w:t>
      1) наименование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2) сведения об услугополучателе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услугодателя;</w:t>
      </w:r>
      <w:r>
        <w:br/>
      </w:r>
      <w:r>
        <w:rPr>
          <w:b w:val="false"/>
          <w:i w:val="false"/>
          <w:color w:val="000000"/>
          <w:sz w:val="20"/>
        </w:rPr>
        <w:t>
      3) наименование организаций, осуществляющих прием заявлений и выдачу результатов оказания государственной услуги, и (или) указание на веб-портале «электронного правительства» в случае оказания государственной услуги в электронной форме;</w:t>
      </w:r>
      <w:r>
        <w:br/>
      </w:r>
      <w:r>
        <w:rPr>
          <w:b w:val="false"/>
          <w:i w:val="false"/>
          <w:color w:val="000000"/>
          <w:sz w:val="20"/>
        </w:rPr>
        <w:t>
      4) форму оказания государственной услуги;</w:t>
      </w:r>
      <w:r>
        <w:br/>
      </w:r>
      <w:r>
        <w:rPr>
          <w:b w:val="false"/>
          <w:i w:val="false"/>
          <w:color w:val="000000"/>
          <w:sz w:val="20"/>
        </w:rPr>
        <w:t>
      5) платность либо бесплатность оказания государственной услуги.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12. Классификация реестра состоит из:</w:t>
      </w:r>
      <w:r>
        <w:br/>
      </w:r>
      <w:r>
        <w:rPr>
          <w:b w:val="false"/>
          <w:i w:val="false"/>
          <w:color w:val="000000"/>
          <w:sz w:val="20"/>
        </w:rPr>
        <w:t>
      1) разделов, которые представляют собой группировку государственных услуг в зависимости от сфер общественных отношений;</w:t>
      </w:r>
      <w:r>
        <w:br/>
      </w:r>
      <w:r>
        <w:rPr>
          <w:b w:val="false"/>
          <w:i w:val="false"/>
          <w:color w:val="000000"/>
          <w:sz w:val="20"/>
        </w:rPr>
        <w:t>
      2) подразделов, которые представляют собой группировку государственных услуг в зависимости от жизненных ситуаций услугополучателя;</w:t>
      </w:r>
      <w:r>
        <w:br/>
      </w:r>
      <w:r>
        <w:rPr>
          <w:b w:val="false"/>
          <w:i w:val="false"/>
          <w:color w:val="000000"/>
          <w:sz w:val="20"/>
        </w:rPr>
        <w:t>
      3) порядковых номеров государственных услуг.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13. Государственной услуге присваивается восьмизначный индивидуальный классифицированный код в виде цифрового обозначения, который формируется из кодов всех уровней классификации реестра.</w:t>
      </w:r>
      <w:r>
        <w:br/>
      </w:r>
      <w:r>
        <w:rPr>
          <w:b w:val="false"/>
          <w:i w:val="false"/>
          <w:color w:val="000000"/>
          <w:sz w:val="20"/>
        </w:rPr>
        <w:t>
      Классифицированный код состоит из трех частей:</w:t>
      </w:r>
      <w:r>
        <w:br/>
      </w:r>
      <w:r>
        <w:rPr>
          <w:b w:val="false"/>
          <w:i w:val="false"/>
          <w:color w:val="000000"/>
          <w:sz w:val="20"/>
        </w:rPr>
        <w:t>
      1) первая часть – состоит из 3 цифр и обозначает раздел сферы общественных отношений;</w:t>
      </w:r>
      <w:r>
        <w:br/>
      </w:r>
      <w:r>
        <w:rPr>
          <w:b w:val="false"/>
          <w:i w:val="false"/>
          <w:color w:val="000000"/>
          <w:sz w:val="20"/>
        </w:rPr>
        <w:t>
      2) вторая часть – состоит из 2 цифр и обозначает подраздел в зависимости от жизненной ситуации услугополучателя;</w:t>
      </w:r>
      <w:r>
        <w:br/>
      </w:r>
      <w:r>
        <w:rPr>
          <w:b w:val="false"/>
          <w:i w:val="false"/>
          <w:color w:val="000000"/>
          <w:sz w:val="20"/>
        </w:rPr>
        <w:t>
      3) третья часть – состоит из 3 цифр и обозначает порядковый номер государственной услуги внутри подраздела.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14. Классифицированный код государственной услуге присваивается уполномоченным органом.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15. Классификация реестра составляется по структуре согласно </w:t>
      </w:r>
      <w:r>
        <w:rPr>
          <w:b w:val="false"/>
          <w:i w:val="false"/>
          <w:color w:val="000000"/>
          <w:sz w:val="20"/>
        </w:rPr>
        <w:t>приложению 2</w:t>
      </w:r>
      <w:r>
        <w:rPr>
          <w:b w:val="false"/>
          <w:i w:val="false"/>
          <w:color w:val="000000"/>
          <w:sz w:val="20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 1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к Правилам ведения      </w:t>
      </w:r>
      <w:r>
        <w:br/>
      </w:r>
      <w:r>
        <w:rPr>
          <w:b w:val="false"/>
          <w:i w:val="false"/>
          <w:color w:val="000000"/>
          <w:sz w:val="20"/>
        </w:rPr>
        <w:t>
реестра государственных 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      Сведения о государственной услуге для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 внесения изменений и (или) дополнений в реестр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            государственных услуг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983"/>
        <w:gridCol w:w="1306"/>
        <w:gridCol w:w="984"/>
        <w:gridCol w:w="1461"/>
        <w:gridCol w:w="1306"/>
        <w:gridCol w:w="1306"/>
        <w:gridCol w:w="1010"/>
        <w:gridCol w:w="959"/>
        <w:gridCol w:w="984"/>
        <w:gridCol w:w="1186"/>
        <w:gridCol w:w="1354"/>
        <w:gridCol w:w="1161"/>
      </w:tblGrid>
      <w:tr>
        <w:tc>
          <w:tcPr>
            <w:tcW w:w="983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Код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0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нование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98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Кате-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гория услу-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гопо-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луча-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телей</w:t>
            </w:r>
          </w:p>
        </w:tc>
        <w:tc>
          <w:tcPr>
            <w:tcW w:w="14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вание цент-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рального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венного органа, разра-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баты-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вающего стандарт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0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нование услуго-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дателя</w:t>
            </w:r>
          </w:p>
        </w:tc>
        <w:tc>
          <w:tcPr>
            <w:tcW w:w="130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зации, осущест-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вляющие прием заявлений и выдачу оформ-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ленных доку-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ментов</w:t>
            </w:r>
          </w:p>
        </w:tc>
        <w:tc>
          <w:tcPr>
            <w:tcW w:w="1010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Плат-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186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Форма резуль-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тата оказа-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ния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354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Порядок оказания госу-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венной услуги</w:t>
            </w:r>
          </w:p>
        </w:tc>
        <w:tc>
          <w:tcPr>
            <w:tcW w:w="1161" w:type="dxa"/>
            <w:vMerge w:val="restart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мечание (осно-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вание для внесе-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ния изме-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нений и (или) допол-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нений в реестр)</w:t>
            </w:r>
          </w:p>
        </w:tc>
      </w:tr>
      <w:tr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вовое осно-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вание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мер платы</w:t>
            </w:r>
          </w:p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#cfcfcf" w:sz="5"/>
              <w:bottom w:val="single" w:color="#cfcfcf" w:sz="5"/>
              <w:right w:val="single" w:color="#cfcfcf" w:sz="5"/>
            </w:tcBorders>
          </w:tcPr>
          <w:p/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c>
          <w:tcPr>
            <w:tcW w:w="983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Приложение 2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к Правилам ведения      </w:t>
      </w:r>
      <w:r>
        <w:br/>
      </w:r>
      <w:r>
        <w:rPr>
          <w:b w:val="false"/>
          <w:i w:val="false"/>
          <w:color w:val="000000"/>
          <w:sz w:val="20"/>
        </w:rPr>
        <w:t>
реестра государственных 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rPr>
          <w:b/>
          <w:i w:val="false"/>
          <w:color w:val="000000"/>
          <w:sz w:val="20"/>
        </w:rPr>
        <w:t>                 Классификация реестра государственных услуг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679"/>
        <w:gridCol w:w="1184"/>
        <w:gridCol w:w="10717"/>
      </w:tblGrid>
      <w:tr>
        <w:tc>
          <w:tcPr>
            <w:tcW w:w="0" w:type="auto"/>
            <w:gridSpan w:val="3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 xml:space="preserve">Раздел 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Подраздел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Документирование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00101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Получение документов/справок, удостоверяющих личность и статус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00102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Получение документов, обеспечивающих права, не связанные с предпринимательской деятельностью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физических лиц и граждан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00201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Регистрация/смена статуса, места жительства, Ф.И.О и других данных физических лиц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00202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Пребывание зарубежом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00203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Прибытие в Республику Казахстан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физических и юридических лиц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00301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Регистрация физических и юридических лиц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Семья и дети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00401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Создание семьи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00402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Рождение, опекунство и воспитание ребенка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00403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Образование и досуг для ребенка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00404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Содержание и обеспечение ребенка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Права на имущество и интеллектуальную собственность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00501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Движимое имущество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00502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Недвижимое имущество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00503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Интеллектуальная собственность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00504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прав на имущество и интеллектуальную собственность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Здоровье, медицина и здравоохранение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00601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Медицинская помощь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00602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здравоохранения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00603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Санитарно-эпидемиологическое благополучие населения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00604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здоровья, медицины и здравоохранения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Труд и социальная защита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Занятость населения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в сфере занятости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Социальное обеспечение, в том числе пенсионное обеспечение и социальное страхование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Социальная поддержка отдельных категорий граждан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00705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Социальные услуги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00706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труда и социальной защиты населения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Образование и наука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00801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Высшее и послевузовское образование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00802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образования и науки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00803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образования и науки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Бизнес и предпринимательство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Начало бизнеса или частного предпринимательства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Прекращение деятельности частного предпринимателя или юридического лица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занятие определенными видами деятельности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производство отдельных видов продукции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00905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на приобретение, реализацию и хранение одельных видов продукции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00906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Туризм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01001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туризма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01101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01102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01103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Железнодорожный и водный транспорт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01104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транспорта и коммуникаций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Охрана окружающей среды и животного мира, природные ресурсы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Пользование водными ресурсами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Пользование лесными ресурсами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Пользование животным миром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01205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Недропользование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01301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сельского хозяйства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01302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сельского хозяйства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Промышленность, индустрия и технологии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01401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01402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01403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промышленности, индустрии и технологий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01404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промышленности, индустрии и технологий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Нефтегазовая сфера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01501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нефтегазовой сфере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01502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нефтегазовой сфере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Налоговое администрирование, бухгалтерский учет и финансовая отчетность, аудиторская деятельность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01601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Налоговое администрирование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01602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Бухгалтерский учет и финансовая отчетность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01603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Аудиторская деятельность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Государственное регулирование, контроль и надзор финансового рынка и финансовых организаций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01701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деятельности банков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01702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деятельности пенсионных фондов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01703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рынка страховых услуг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01704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государственного регулирования, контроля и надзора финансового рынка и финансовых организаций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Таможенное дело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01801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таможенного дела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Безопасность, оборона и правосудие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01901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безопасности, правосудия и обороны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01902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безопасности, правосудия и обороны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Защита конкуренции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02001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защиты конкуренции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Религия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02101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религии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Земельные отношения, геодезия и картография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02201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02202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Геодезия и картография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Культура, информация и связь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02301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организации и предоставления связи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02302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Информация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02303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Культура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Чрезвычайные ситуации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02401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чрезвычайных ситуаций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02501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физической культуры и спорта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Архитектурно-градостроительная деятельность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02601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разрешительных документов (включая лицензирование, регистрацию, сертификацию) в сфере архитектуры и строительства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02602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архитектурно-градостроительной деятельности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02701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жилищно-коммунального хозяйства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Внешняя политика и иностранные дела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02801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внешней политики и иностранных дел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Регулирование естественных монополий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02901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регулирования естественных монополий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Государственная служба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03001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Прочие государственные услуги в сфере государственной службы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Другие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03101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Использование космического пространства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03102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Апостилирование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03103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Предоставление статистической информации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03104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Государственные предприятия и государственное имущество</w:t>
            </w:r>
          </w:p>
        </w:tc>
      </w:tr>
      <w:tr>
        <w:tc>
          <w:tcPr>
            <w:tcW w:w="679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03105</w:t>
            </w:r>
          </w:p>
        </w:tc>
        <w:tc>
          <w:tcPr>
            <w:tcW w:w="1071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Выдача справок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